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9C1366" w14:textId="77777777" w:rsidR="00A966D7" w:rsidRDefault="00A966D7" w:rsidP="00A966D7">
      <w:pPr>
        <w:pStyle w:val="Heading1"/>
        <w:spacing w:before="79"/>
        <w:ind w:left="0" w:right="700"/>
        <w:jc w:val="center"/>
      </w:pPr>
      <w:r>
        <w:rPr>
          <w:noProof/>
          <w:lang w:val="en-NZ" w:eastAsia="en-NZ"/>
        </w:rPr>
        <mc:AlternateContent>
          <mc:Choice Requires="wpg">
            <w:drawing>
              <wp:anchor distT="0" distB="0" distL="114300" distR="114300" simplePos="0" relativeHeight="251659264" behindDoc="1" locked="0" layoutInCell="1" allowOverlap="1" wp14:anchorId="7CDF09FF" wp14:editId="138F7732">
                <wp:simplePos x="0" y="0"/>
                <wp:positionH relativeFrom="page">
                  <wp:posOffset>2449830</wp:posOffset>
                </wp:positionH>
                <wp:positionV relativeFrom="paragraph">
                  <wp:posOffset>932815</wp:posOffset>
                </wp:positionV>
                <wp:extent cx="142240" cy="171450"/>
                <wp:effectExtent l="1905" t="5715" r="55880" b="381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71450"/>
                          <a:chOff x="3858" y="1469"/>
                          <a:chExt cx="224" cy="270"/>
                        </a:xfrm>
                      </wpg:grpSpPr>
                      <wps:wsp>
                        <wps:cNvPr id="33" name="Freeform 33"/>
                        <wps:cNvSpPr>
                          <a:spLocks/>
                        </wps:cNvSpPr>
                        <wps:spPr bwMode="auto">
                          <a:xfrm>
                            <a:off x="3858" y="1469"/>
                            <a:ext cx="224" cy="270"/>
                          </a:xfrm>
                          <a:custGeom>
                            <a:avLst/>
                            <a:gdLst>
                              <a:gd name="T0" fmla="+- 0 4082 3858"/>
                              <a:gd name="T1" fmla="*/ T0 w 224"/>
                              <a:gd name="T2" fmla="+- 0 1537 1469"/>
                              <a:gd name="T3" fmla="*/ 1537 h 270"/>
                              <a:gd name="T4" fmla="+- 0 3932 3858"/>
                              <a:gd name="T5" fmla="*/ T4 w 224"/>
                              <a:gd name="T6" fmla="+- 0 1537 1469"/>
                              <a:gd name="T7" fmla="*/ 1537 h 270"/>
                              <a:gd name="T8" fmla="+- 0 3932 3858"/>
                              <a:gd name="T9" fmla="*/ T8 w 224"/>
                              <a:gd name="T10" fmla="+- 0 1739 1469"/>
                              <a:gd name="T11" fmla="*/ 1739 h 270"/>
                              <a:gd name="T12" fmla="+- 0 4082 3858"/>
                              <a:gd name="T13" fmla="*/ T12 w 224"/>
                              <a:gd name="T14" fmla="+- 0 1739 1469"/>
                              <a:gd name="T15" fmla="*/ 1739 h 270"/>
                              <a:gd name="T16" fmla="+- 0 4082 3858"/>
                              <a:gd name="T17" fmla="*/ T16 w 224"/>
                              <a:gd name="T18" fmla="+- 0 1537 1469"/>
                              <a:gd name="T19" fmla="*/ 1537 h 270"/>
                            </a:gdLst>
                            <a:ahLst/>
                            <a:cxnLst>
                              <a:cxn ang="0">
                                <a:pos x="T1" y="T3"/>
                              </a:cxn>
                              <a:cxn ang="0">
                                <a:pos x="T5" y="T7"/>
                              </a:cxn>
                              <a:cxn ang="0">
                                <a:pos x="T9" y="T11"/>
                              </a:cxn>
                              <a:cxn ang="0">
                                <a:pos x="T13" y="T15"/>
                              </a:cxn>
                              <a:cxn ang="0">
                                <a:pos x="T17" y="T19"/>
                              </a:cxn>
                            </a:cxnLst>
                            <a:rect l="0" t="0" r="r" b="b"/>
                            <a:pathLst>
                              <a:path w="224" h="270">
                                <a:moveTo>
                                  <a:pt x="224" y="68"/>
                                </a:moveTo>
                                <a:lnTo>
                                  <a:pt x="74" y="68"/>
                                </a:lnTo>
                                <a:lnTo>
                                  <a:pt x="74" y="270"/>
                                </a:lnTo>
                                <a:lnTo>
                                  <a:pt x="224" y="270"/>
                                </a:lnTo>
                                <a:lnTo>
                                  <a:pt x="224" y="68"/>
                                </a:lnTo>
                                <a:close/>
                              </a:path>
                            </a:pathLst>
                          </a:cu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wps:cNvSpPr>
                        <wps:spPr bwMode="auto">
                          <a:xfrm>
                            <a:off x="3858" y="1469"/>
                            <a:ext cx="224" cy="270"/>
                          </a:xfrm>
                          <a:custGeom>
                            <a:avLst/>
                            <a:gdLst>
                              <a:gd name="T0" fmla="+- 0 4008 3858"/>
                              <a:gd name="T1" fmla="*/ T0 w 224"/>
                              <a:gd name="T2" fmla="+- 0 1469 1469"/>
                              <a:gd name="T3" fmla="*/ 1469 h 270"/>
                              <a:gd name="T4" fmla="+- 0 3858 3858"/>
                              <a:gd name="T5" fmla="*/ T4 w 224"/>
                              <a:gd name="T6" fmla="+- 0 1537 1469"/>
                              <a:gd name="T7" fmla="*/ 1537 h 270"/>
                              <a:gd name="T8" fmla="+- 0 4158 3858"/>
                              <a:gd name="T9" fmla="*/ T8 w 224"/>
                              <a:gd name="T10" fmla="+- 0 1537 1469"/>
                              <a:gd name="T11" fmla="*/ 1537 h 270"/>
                              <a:gd name="T12" fmla="+- 0 4008 3858"/>
                              <a:gd name="T13" fmla="*/ T12 w 224"/>
                              <a:gd name="T14" fmla="+- 0 1469 1469"/>
                              <a:gd name="T15" fmla="*/ 1469 h 270"/>
                            </a:gdLst>
                            <a:ahLst/>
                            <a:cxnLst>
                              <a:cxn ang="0">
                                <a:pos x="T1" y="T3"/>
                              </a:cxn>
                              <a:cxn ang="0">
                                <a:pos x="T5" y="T7"/>
                              </a:cxn>
                              <a:cxn ang="0">
                                <a:pos x="T9" y="T11"/>
                              </a:cxn>
                              <a:cxn ang="0">
                                <a:pos x="T13" y="T15"/>
                              </a:cxn>
                            </a:cxnLst>
                            <a:rect l="0" t="0" r="r" b="b"/>
                            <a:pathLst>
                              <a:path w="224" h="270">
                                <a:moveTo>
                                  <a:pt x="150" y="0"/>
                                </a:moveTo>
                                <a:lnTo>
                                  <a:pt x="0" y="68"/>
                                </a:lnTo>
                                <a:lnTo>
                                  <a:pt x="300" y="68"/>
                                </a:lnTo>
                                <a:lnTo>
                                  <a:pt x="150" y="0"/>
                                </a:lnTo>
                                <a:close/>
                              </a:path>
                            </a:pathLst>
                          </a:cu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B6C74" id="Group 31" o:spid="_x0000_s1026" style="position:absolute;margin-left:192.9pt;margin-top:73.45pt;width:11.2pt;height:13.5pt;z-index:-251657216;mso-position-horizontal-relative:page" coordorigin="3858,1469" coordsize="22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">
                <v:shape id="Freeform 33" o:spid="_x0000_s1027" style="position:absolute;left:3858;top:1469;width:224;height:270;visibility:visible;mso-wrap-style:square;v-text-anchor:top" coordsize="22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JMsQA&#10;AADbAAAADwAAAGRycy9kb3ducmV2LnhtbESPT4vCMBTE7wt+h/AEb2uqgizVKKIuqwcR/4DXZ/Ns&#10;i81LTaLWb28WFvY4zMxvmPG0MZV4kPOlZQW9bgKCOLO65FzB8fD9+QXCB2SNlWVS8CIP00nrY4yp&#10;tk/e0WMfchEh7FNUUIRQp1L6rCCDvmtr4uhdrDMYonS51A6fEW4q2U+SoTRYclwosKZ5Qdl1fzcK&#10;3Gy93GzNcrE9lyf+6e/s8HZcKdVpN7MRiEBN+A//tVdawWAAv1/iD5C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5STLEAAAA2wAAAA8AAAAAAAAAAAAAAAAAmAIAAGRycy9k&#10;b3ducmV2LnhtbFBLBQYAAAAABAAEAPUAAACJAwAAAAA=&#10;" path="m224,68l74,68r,202l224,270r,-202xe" fillcolor="#548dd4" stroked="f">
                  <v:path arrowok="t" o:connecttype="custom" o:connectlocs="224,1537;74,1537;74,1739;224,1739;224,1537" o:connectangles="0,0,0,0,0"/>
                </v:shape>
                <v:shape id="Freeform 32" o:spid="_x0000_s1028" style="position:absolute;left:3858;top:1469;width:224;height:270;visibility:visible;mso-wrap-style:square;v-text-anchor:top" coordsize="22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RRsQA&#10;AADbAAAADwAAAGRycy9kb3ducmV2LnhtbESPT2sCMRTE70K/Q3gFb5qtipStUcQ/qAcRrdDrc/Pc&#10;Xbp5WZOo67c3QqHHYWZ+w4wmjanEjZwvLSv46CYgiDOrS84VHL+XnU8QPiBrrCyTggd5mIzfWiNM&#10;tb3znm6HkIsIYZ+igiKEOpXSZwUZ9F1bE0fvbJ3BEKXLpXZ4j3BTyV6SDKXBkuNCgTXNCsp+D1ej&#10;wE03i+3OLOa7U/nDq97eDi/HtVLt92b6BSJQE/7Df+21VtAfwOtL/AF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0UbEAAAA2wAAAA8AAAAAAAAAAAAAAAAAmAIAAGRycy9k&#10;b3ducmV2LnhtbFBLBQYAAAAABAAEAPUAAACJAwAAAAA=&#10;" path="m150,l,68r300,l150,xe" fillcolor="#548dd4" stroked="f">
                  <v:path arrowok="t" o:connecttype="custom" o:connectlocs="150,1469;0,1537;300,1537;150,1469" o:connectangles="0,0,0,0"/>
                </v:shape>
                <w10:wrap anchorx="page"/>
              </v:group>
            </w:pict>
          </mc:Fallback>
        </mc:AlternateContent>
      </w:r>
      <w:r>
        <w:rPr>
          <w:spacing w:val="-6"/>
        </w:rPr>
        <w:t>K</w:t>
      </w:r>
      <w:r>
        <w:rPr>
          <w:spacing w:val="1"/>
        </w:rPr>
        <w:t>e</w:t>
      </w:r>
      <w:r>
        <w:t>y</w:t>
      </w:r>
      <w:r>
        <w:rPr>
          <w:spacing w:val="-8"/>
        </w:rPr>
        <w:t xml:space="preserve"> </w:t>
      </w:r>
      <w:r>
        <w:t>cha</w:t>
      </w:r>
      <w:r>
        <w:rPr>
          <w:spacing w:val="1"/>
        </w:rPr>
        <w:t>n</w:t>
      </w:r>
      <w:r>
        <w:t>ges</w:t>
      </w:r>
      <w:r>
        <w:rPr>
          <w:spacing w:val="-5"/>
        </w:rPr>
        <w:t xml:space="preserve"> </w:t>
      </w:r>
      <w:r>
        <w:t>proposed</w:t>
      </w:r>
      <w:r>
        <w:rPr>
          <w:spacing w:val="-6"/>
        </w:rPr>
        <w:t xml:space="preserve"> </w:t>
      </w:r>
      <w:r>
        <w:t>to</w:t>
      </w:r>
      <w:r>
        <w:rPr>
          <w:spacing w:val="-5"/>
        </w:rPr>
        <w:t xml:space="preserve"> </w:t>
      </w:r>
      <w:r>
        <w:t>the</w:t>
      </w:r>
      <w:r>
        <w:rPr>
          <w:spacing w:val="-6"/>
        </w:rPr>
        <w:t xml:space="preserve"> </w:t>
      </w:r>
      <w:r>
        <w:t>activity</w:t>
      </w:r>
      <w:r>
        <w:rPr>
          <w:spacing w:val="-8"/>
        </w:rPr>
        <w:t xml:space="preserve"> </w:t>
      </w:r>
      <w:r>
        <w:t>clas</w:t>
      </w:r>
      <w:r>
        <w:rPr>
          <w:spacing w:val="1"/>
        </w:rPr>
        <w:t>s</w:t>
      </w:r>
      <w:r>
        <w:t>es</w:t>
      </w:r>
      <w:r>
        <w:rPr>
          <w:spacing w:val="-5"/>
        </w:rPr>
        <w:t xml:space="preserve"> </w:t>
      </w:r>
      <w:r>
        <w:t>in</w:t>
      </w:r>
      <w:r>
        <w:rPr>
          <w:spacing w:val="-6"/>
        </w:rPr>
        <w:t xml:space="preserve"> </w:t>
      </w:r>
      <w:r>
        <w:t>the</w:t>
      </w:r>
      <w:r>
        <w:rPr>
          <w:spacing w:val="-5"/>
        </w:rPr>
        <w:t xml:space="preserve"> </w:t>
      </w:r>
      <w:r>
        <w:t>draft</w:t>
      </w:r>
      <w:r>
        <w:rPr>
          <w:spacing w:val="-6"/>
        </w:rPr>
        <w:t xml:space="preserve"> </w:t>
      </w:r>
      <w:r>
        <w:t>GPS</w:t>
      </w:r>
      <w:r>
        <w:rPr>
          <w:w w:val="99"/>
        </w:rPr>
        <w:t xml:space="preserve"> </w:t>
      </w:r>
      <w:r>
        <w:t>2018</w:t>
      </w:r>
    </w:p>
    <w:p w14:paraId="78A100F9" w14:textId="77777777" w:rsidR="00A966D7" w:rsidRDefault="00A966D7" w:rsidP="00A966D7">
      <w:pPr>
        <w:pStyle w:val="Heading1"/>
        <w:spacing w:before="79"/>
        <w:ind w:left="0" w:right="700"/>
      </w:pPr>
    </w:p>
    <w:tbl>
      <w:tblPr>
        <w:tblW w:w="8412" w:type="dxa"/>
        <w:tblInd w:w="-34" w:type="dxa"/>
        <w:tblLayout w:type="fixed"/>
        <w:tblCellMar>
          <w:left w:w="0" w:type="dxa"/>
          <w:right w:w="0" w:type="dxa"/>
        </w:tblCellMar>
        <w:tblLook w:val="04A0" w:firstRow="1" w:lastRow="0" w:firstColumn="1" w:lastColumn="0" w:noHBand="0" w:noVBand="1"/>
      </w:tblPr>
      <w:tblGrid>
        <w:gridCol w:w="1560"/>
        <w:gridCol w:w="1441"/>
        <w:gridCol w:w="5411"/>
      </w:tblGrid>
      <w:tr w:rsidR="00A966D7" w:rsidRPr="0002006F" w14:paraId="676AD2A2" w14:textId="77777777" w:rsidTr="00224F3B">
        <w:trPr>
          <w:trHeight w:val="754"/>
        </w:trPr>
        <w:tc>
          <w:tcPr>
            <w:tcW w:w="1560" w:type="dxa"/>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53AF5741" w14:textId="77777777" w:rsidR="00A966D7" w:rsidRPr="0002006F" w:rsidRDefault="00A966D7" w:rsidP="00224F3B">
            <w:pPr>
              <w:spacing w:before="200" w:after="200" w:line="276" w:lineRule="auto"/>
              <w:rPr>
                <w:rFonts w:eastAsia="Calibri" w:cs="Arial"/>
                <w:b/>
                <w:color w:val="FFFFFF"/>
                <w:sz w:val="20"/>
                <w:szCs w:val="20"/>
              </w:rPr>
            </w:pPr>
            <w:r w:rsidRPr="0002006F">
              <w:rPr>
                <w:rFonts w:eastAsia="Calibri" w:cs="Arial"/>
                <w:b/>
                <w:color w:val="FFFFFF"/>
                <w:sz w:val="20"/>
                <w:szCs w:val="20"/>
              </w:rPr>
              <w:t>Activity class</w:t>
            </w:r>
          </w:p>
        </w:tc>
        <w:tc>
          <w:tcPr>
            <w:tcW w:w="1441" w:type="dxa"/>
            <w:tcBorders>
              <w:top w:val="single" w:sz="8" w:space="0" w:color="auto"/>
              <w:left w:val="nil"/>
              <w:bottom w:val="single" w:sz="8" w:space="0" w:color="auto"/>
              <w:right w:val="single" w:sz="8" w:space="0" w:color="auto"/>
            </w:tcBorders>
            <w:shd w:val="clear" w:color="auto" w:fill="1F3864"/>
            <w:tcMar>
              <w:top w:w="0" w:type="dxa"/>
              <w:left w:w="108" w:type="dxa"/>
              <w:bottom w:w="0" w:type="dxa"/>
              <w:right w:w="108" w:type="dxa"/>
            </w:tcMar>
            <w:hideMark/>
          </w:tcPr>
          <w:p w14:paraId="08B329C4" w14:textId="77777777" w:rsidR="00A966D7" w:rsidRPr="0002006F" w:rsidRDefault="00A966D7" w:rsidP="00224F3B">
            <w:pPr>
              <w:spacing w:before="200" w:after="200" w:line="276" w:lineRule="auto"/>
              <w:rPr>
                <w:rFonts w:eastAsia="Calibri" w:cs="Arial"/>
                <w:b/>
                <w:color w:val="FFFFFF"/>
                <w:sz w:val="20"/>
                <w:szCs w:val="20"/>
              </w:rPr>
            </w:pPr>
            <w:r w:rsidRPr="0002006F">
              <w:rPr>
                <w:rFonts w:eastAsia="Calibri" w:cs="Arial"/>
                <w:b/>
                <w:color w:val="FFFFFF"/>
                <w:sz w:val="20"/>
                <w:szCs w:val="20"/>
              </w:rPr>
              <w:t>Average percentage change over three years</w:t>
            </w:r>
            <w:r w:rsidRPr="0002006F">
              <w:rPr>
                <w:rFonts w:eastAsia="Calibri" w:cs="Arial"/>
                <w:b/>
                <w:color w:val="FFFFFF"/>
                <w:sz w:val="20"/>
                <w:szCs w:val="20"/>
                <w:vertAlign w:val="superscript"/>
              </w:rPr>
              <w:footnoteReference w:id="1"/>
            </w:r>
            <w:r w:rsidRPr="0002006F">
              <w:rPr>
                <w:rFonts w:eastAsia="Calibri" w:cs="Arial"/>
                <w:b/>
                <w:color w:val="FFFFFF"/>
                <w:sz w:val="20"/>
                <w:szCs w:val="20"/>
              </w:rPr>
              <w:t xml:space="preserve"> </w:t>
            </w:r>
          </w:p>
        </w:tc>
        <w:tc>
          <w:tcPr>
            <w:tcW w:w="5411" w:type="dxa"/>
            <w:tcBorders>
              <w:top w:val="single" w:sz="8" w:space="0" w:color="auto"/>
              <w:left w:val="nil"/>
              <w:bottom w:val="single" w:sz="8" w:space="0" w:color="auto"/>
              <w:right w:val="single" w:sz="8" w:space="0" w:color="auto"/>
            </w:tcBorders>
            <w:shd w:val="clear" w:color="auto" w:fill="1F3864"/>
            <w:tcMar>
              <w:top w:w="0" w:type="dxa"/>
              <w:left w:w="108" w:type="dxa"/>
              <w:bottom w:w="0" w:type="dxa"/>
              <w:right w:w="108" w:type="dxa"/>
            </w:tcMar>
            <w:hideMark/>
          </w:tcPr>
          <w:p w14:paraId="5C55ECD0" w14:textId="77777777" w:rsidR="00A966D7" w:rsidRPr="0002006F" w:rsidRDefault="00A966D7" w:rsidP="00224F3B">
            <w:pPr>
              <w:spacing w:before="200" w:after="200" w:line="276" w:lineRule="auto"/>
              <w:rPr>
                <w:rFonts w:eastAsia="Calibri" w:cs="Arial"/>
                <w:b/>
                <w:color w:val="FFFFFF"/>
                <w:sz w:val="20"/>
                <w:szCs w:val="20"/>
              </w:rPr>
            </w:pPr>
            <w:r w:rsidRPr="0002006F">
              <w:rPr>
                <w:rFonts w:eastAsia="Calibri" w:cs="Arial"/>
                <w:b/>
                <w:color w:val="FFFFFF"/>
                <w:sz w:val="20"/>
                <w:szCs w:val="20"/>
              </w:rPr>
              <w:t xml:space="preserve">Comment </w:t>
            </w:r>
          </w:p>
        </w:tc>
      </w:tr>
      <w:tr w:rsidR="00A966D7" w:rsidRPr="0002006F" w14:paraId="7F2E23A7" w14:textId="77777777" w:rsidTr="00224F3B">
        <w:trPr>
          <w:trHeight w:val="61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1F8059" w14:textId="77777777"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Public transport</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3B8B9499" w14:textId="77777777" w:rsidR="00A966D7" w:rsidRPr="0002006F" w:rsidRDefault="00A966D7" w:rsidP="00224F3B">
            <w:pPr>
              <w:spacing w:before="120" w:after="120" w:line="276" w:lineRule="auto"/>
              <w:jc w:val="right"/>
              <w:rPr>
                <w:rFonts w:eastAsia="Calibri" w:cs="Arial"/>
                <w:color w:val="000000"/>
                <w:sz w:val="20"/>
                <w:szCs w:val="20"/>
              </w:rPr>
            </w:pPr>
            <w:r w:rsidRPr="0002006F">
              <w:rPr>
                <w:rFonts w:eastAsia="Calibri" w:cs="Arial"/>
                <w:color w:val="000000"/>
                <w:sz w:val="20"/>
                <w:szCs w:val="20"/>
              </w:rPr>
              <w:t>46</w:t>
            </w:r>
            <w:r>
              <w:rPr>
                <w:rFonts w:eastAsia="Calibri" w:cs="Arial"/>
                <w:color w:val="000000"/>
                <w:sz w:val="20"/>
                <w:szCs w:val="20"/>
              </w:rPr>
              <w:t>% increase</w:t>
            </w:r>
          </w:p>
        </w:tc>
        <w:tc>
          <w:tcPr>
            <w:tcW w:w="5411" w:type="dxa"/>
            <w:tcBorders>
              <w:top w:val="nil"/>
              <w:left w:val="nil"/>
              <w:bottom w:val="single" w:sz="8" w:space="0" w:color="auto"/>
              <w:right w:val="single" w:sz="8" w:space="0" w:color="auto"/>
            </w:tcBorders>
            <w:tcMar>
              <w:top w:w="0" w:type="dxa"/>
              <w:left w:w="108" w:type="dxa"/>
              <w:bottom w:w="0" w:type="dxa"/>
              <w:right w:w="108" w:type="dxa"/>
            </w:tcMar>
          </w:tcPr>
          <w:p w14:paraId="74D0893F" w14:textId="77777777"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T</w:t>
            </w:r>
            <w:r>
              <w:rPr>
                <w:rFonts w:eastAsia="Calibri" w:cs="Arial"/>
                <w:sz w:val="20"/>
                <w:szCs w:val="20"/>
              </w:rPr>
              <w:t>his will</w:t>
            </w:r>
            <w:r w:rsidRPr="0002006F">
              <w:rPr>
                <w:rFonts w:eastAsia="Calibri" w:cs="Arial"/>
                <w:sz w:val="20"/>
                <w:szCs w:val="20"/>
              </w:rPr>
              <w:t xml:space="preserve"> support an expansion in public transport networks. This will support an increase in operating subsidies for public transport and some public transport capital improvements. </w:t>
            </w:r>
          </w:p>
        </w:tc>
      </w:tr>
      <w:tr w:rsidR="00A966D7" w:rsidRPr="0002006F" w14:paraId="16357DCC" w14:textId="77777777" w:rsidTr="00224F3B">
        <w:trPr>
          <w:trHeight w:val="61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1AC1EB" w14:textId="77777777" w:rsidR="00A966D7" w:rsidRPr="0002006F" w:rsidRDefault="00A966D7" w:rsidP="00224F3B">
            <w:pPr>
              <w:spacing w:before="120" w:after="120" w:line="276" w:lineRule="auto"/>
              <w:jc w:val="center"/>
              <w:rPr>
                <w:rFonts w:eastAsia="Calibri" w:cs="Arial"/>
                <w:i/>
                <w:color w:val="000000"/>
                <w:sz w:val="20"/>
                <w:szCs w:val="20"/>
              </w:rPr>
            </w:pPr>
            <w:r>
              <w:rPr>
                <w:rFonts w:eastAsia="Calibri" w:cs="Arial"/>
                <w:i/>
                <w:color w:val="000000"/>
                <w:sz w:val="20"/>
                <w:szCs w:val="20"/>
              </w:rPr>
              <w:t xml:space="preserve">Rapid </w:t>
            </w:r>
            <w:r w:rsidRPr="0002006F">
              <w:rPr>
                <w:rFonts w:eastAsia="Calibri" w:cs="Arial"/>
                <w:i/>
                <w:color w:val="000000"/>
                <w:sz w:val="20"/>
                <w:szCs w:val="20"/>
              </w:rPr>
              <w:t>Transit</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258E1EC7" w14:textId="77777777" w:rsidR="00A966D7" w:rsidRPr="0002006F" w:rsidRDefault="00A966D7" w:rsidP="00224F3B">
            <w:pPr>
              <w:spacing w:before="120" w:after="120" w:line="276" w:lineRule="auto"/>
              <w:jc w:val="right"/>
              <w:rPr>
                <w:rFonts w:eastAsia="Calibri" w:cs="Arial"/>
                <w:color w:val="000000"/>
                <w:sz w:val="20"/>
                <w:szCs w:val="20"/>
              </w:rPr>
            </w:pPr>
            <w:r>
              <w:rPr>
                <w:rFonts w:eastAsia="Calibri" w:cs="Arial"/>
                <w:color w:val="000000"/>
                <w:sz w:val="20"/>
                <w:szCs w:val="20"/>
              </w:rPr>
              <w:t>New activity class</w:t>
            </w:r>
          </w:p>
        </w:tc>
        <w:tc>
          <w:tcPr>
            <w:tcW w:w="5411" w:type="dxa"/>
            <w:tcBorders>
              <w:top w:val="nil"/>
              <w:left w:val="nil"/>
              <w:bottom w:val="single" w:sz="8" w:space="0" w:color="auto"/>
              <w:right w:val="single" w:sz="8" w:space="0" w:color="auto"/>
            </w:tcBorders>
            <w:tcMar>
              <w:top w:w="0" w:type="dxa"/>
              <w:left w:w="108" w:type="dxa"/>
              <w:bottom w:w="0" w:type="dxa"/>
              <w:right w:w="108" w:type="dxa"/>
            </w:tcMar>
          </w:tcPr>
          <w:p w14:paraId="583F79EE" w14:textId="77777777" w:rsidR="00A966D7" w:rsidRPr="0002006F" w:rsidRDefault="00A966D7" w:rsidP="00224F3B">
            <w:pPr>
              <w:spacing w:after="200" w:line="276" w:lineRule="auto"/>
              <w:rPr>
                <w:rFonts w:eastAsia="Calibri" w:cs="Arial"/>
                <w:sz w:val="20"/>
                <w:szCs w:val="20"/>
              </w:rPr>
            </w:pPr>
            <w:r w:rsidRPr="0002006F">
              <w:rPr>
                <w:rFonts w:eastAsia="Calibri" w:cs="Arial"/>
                <w:i/>
                <w:sz w:val="20"/>
                <w:szCs w:val="20"/>
              </w:rPr>
              <w:t>New activity class –</w:t>
            </w:r>
            <w:r w:rsidRPr="0002006F">
              <w:rPr>
                <w:rFonts w:eastAsia="Calibri" w:cs="Arial"/>
                <w:sz w:val="20"/>
                <w:szCs w:val="20"/>
              </w:rPr>
              <w:t xml:space="preserve"> allowing $4 billion over 10 years to establish </w:t>
            </w:r>
            <w:r>
              <w:rPr>
                <w:rFonts w:eastAsia="Calibri" w:cs="Arial"/>
                <w:sz w:val="20"/>
                <w:szCs w:val="20"/>
              </w:rPr>
              <w:t>rapid</w:t>
            </w:r>
            <w:r w:rsidRPr="0002006F">
              <w:rPr>
                <w:rFonts w:eastAsia="Calibri" w:cs="Arial"/>
                <w:sz w:val="20"/>
                <w:szCs w:val="20"/>
              </w:rPr>
              <w:t xml:space="preserve"> transit investment with an init</w:t>
            </w:r>
            <w:r>
              <w:rPr>
                <w:rFonts w:eastAsia="Calibri" w:cs="Arial"/>
                <w:sz w:val="20"/>
                <w:szCs w:val="20"/>
              </w:rPr>
              <w:t>ial focus on Auckland. Note: W</w:t>
            </w:r>
            <w:r w:rsidRPr="0002006F">
              <w:rPr>
                <w:rFonts w:eastAsia="Calibri" w:cs="Arial"/>
                <w:sz w:val="20"/>
                <w:szCs w:val="20"/>
              </w:rPr>
              <w:t xml:space="preserve">hile funding ranges show a decrease in </w:t>
            </w:r>
            <w:r>
              <w:rPr>
                <w:rFonts w:eastAsia="Calibri" w:cs="Arial"/>
                <w:sz w:val="20"/>
                <w:szCs w:val="20"/>
              </w:rPr>
              <w:t xml:space="preserve">rapid </w:t>
            </w:r>
            <w:r w:rsidRPr="0002006F">
              <w:rPr>
                <w:rFonts w:eastAsia="Calibri" w:cs="Arial"/>
                <w:sz w:val="20"/>
                <w:szCs w:val="20"/>
              </w:rPr>
              <w:t>transit investment</w:t>
            </w:r>
            <w:r>
              <w:rPr>
                <w:rFonts w:eastAsia="Calibri" w:cs="Arial"/>
                <w:sz w:val="20"/>
                <w:szCs w:val="20"/>
              </w:rPr>
              <w:t>,</w:t>
            </w:r>
            <w:r w:rsidRPr="0002006F">
              <w:rPr>
                <w:rFonts w:eastAsia="Calibri" w:cs="Arial"/>
                <w:sz w:val="20"/>
                <w:szCs w:val="20"/>
              </w:rPr>
              <w:t xml:space="preserve"> in later years the intention is to continue with more investment</w:t>
            </w:r>
            <w:r>
              <w:rPr>
                <w:rFonts w:eastAsia="Calibri" w:cs="Arial"/>
                <w:sz w:val="20"/>
                <w:szCs w:val="20"/>
              </w:rPr>
              <w:t>.</w:t>
            </w:r>
            <w:r w:rsidRPr="0002006F">
              <w:rPr>
                <w:rFonts w:eastAsia="Calibri" w:cs="Arial"/>
                <w:sz w:val="20"/>
                <w:szCs w:val="20"/>
              </w:rPr>
              <w:t xml:space="preserve"> </w:t>
            </w:r>
          </w:p>
        </w:tc>
      </w:tr>
      <w:tr w:rsidR="00A966D7" w:rsidRPr="0002006F" w14:paraId="5B9CCBB3" w14:textId="77777777" w:rsidTr="00224F3B">
        <w:trPr>
          <w:trHeight w:val="772"/>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27C8E3" w14:textId="77777777"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Local road improvements</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1A5274C6" w14:textId="77777777" w:rsidR="00A966D7" w:rsidRPr="0002006F" w:rsidRDefault="00A966D7" w:rsidP="00224F3B">
            <w:pPr>
              <w:spacing w:before="120" w:after="120" w:line="276" w:lineRule="auto"/>
              <w:jc w:val="right"/>
              <w:rPr>
                <w:rFonts w:eastAsia="Calibri" w:cs="Arial"/>
                <w:color w:val="000000"/>
                <w:sz w:val="20"/>
                <w:szCs w:val="20"/>
              </w:rPr>
            </w:pPr>
            <w:r w:rsidRPr="008342C1">
              <w:rPr>
                <w:rFonts w:eastAsia="Calibri" w:cs="Arial"/>
                <w:color w:val="000000"/>
                <w:sz w:val="20"/>
                <w:szCs w:val="20"/>
              </w:rPr>
              <w:t>42</w:t>
            </w:r>
            <w:r>
              <w:rPr>
                <w:rFonts w:eastAsia="Calibri" w:cs="Arial"/>
                <w:color w:val="000000"/>
                <w:sz w:val="20"/>
                <w:szCs w:val="20"/>
              </w:rPr>
              <w:t>% increase</w:t>
            </w:r>
          </w:p>
        </w:tc>
        <w:tc>
          <w:tcPr>
            <w:tcW w:w="5411" w:type="dxa"/>
            <w:tcBorders>
              <w:top w:val="nil"/>
              <w:left w:val="nil"/>
              <w:bottom w:val="single" w:sz="8" w:space="0" w:color="auto"/>
              <w:right w:val="single" w:sz="8" w:space="0" w:color="auto"/>
            </w:tcBorders>
          </w:tcPr>
          <w:p w14:paraId="68568E45" w14:textId="77777777" w:rsidR="00A966D7" w:rsidRPr="0002006F" w:rsidRDefault="00A966D7" w:rsidP="00224F3B">
            <w:pPr>
              <w:spacing w:before="120" w:after="120" w:line="276" w:lineRule="auto"/>
              <w:ind w:left="79"/>
              <w:rPr>
                <w:rFonts w:eastAsia="Calibri" w:cs="Arial"/>
                <w:sz w:val="20"/>
                <w:szCs w:val="20"/>
              </w:rPr>
            </w:pPr>
            <w:r w:rsidRPr="0002006F">
              <w:rPr>
                <w:rFonts w:eastAsia="Calibri" w:cs="Arial"/>
                <w:sz w:val="20"/>
                <w:szCs w:val="20"/>
              </w:rPr>
              <w:t xml:space="preserve">To support local road improvements and </w:t>
            </w:r>
            <w:r>
              <w:rPr>
                <w:rFonts w:eastAsia="Calibri" w:cs="Arial"/>
                <w:sz w:val="20"/>
                <w:szCs w:val="20"/>
              </w:rPr>
              <w:t>upgrades</w:t>
            </w:r>
            <w:r w:rsidRPr="0002006F">
              <w:rPr>
                <w:rFonts w:eastAsia="Calibri" w:cs="Arial"/>
                <w:sz w:val="20"/>
                <w:szCs w:val="20"/>
              </w:rPr>
              <w:t xml:space="preserve">. </w:t>
            </w:r>
          </w:p>
        </w:tc>
      </w:tr>
      <w:tr w:rsidR="00A966D7" w:rsidRPr="0002006F" w14:paraId="388FE1B8" w14:textId="77777777" w:rsidTr="00224F3B">
        <w:trPr>
          <w:trHeight w:val="934"/>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F7BAE" w14:textId="77777777"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Regional improvements</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03787A09" w14:textId="77777777" w:rsidR="00A966D7" w:rsidRPr="008342C1" w:rsidRDefault="00A966D7" w:rsidP="00224F3B">
            <w:pPr>
              <w:spacing w:before="120" w:after="120" w:line="276" w:lineRule="auto"/>
              <w:jc w:val="right"/>
              <w:rPr>
                <w:rFonts w:eastAsia="Calibri" w:cs="Arial"/>
                <w:color w:val="000000"/>
                <w:sz w:val="20"/>
                <w:szCs w:val="20"/>
              </w:rPr>
            </w:pPr>
            <w:r w:rsidRPr="008342C1">
              <w:rPr>
                <w:rFonts w:eastAsia="Calibri" w:cs="Arial"/>
                <w:color w:val="000000"/>
                <w:sz w:val="20"/>
                <w:szCs w:val="20"/>
              </w:rPr>
              <w:t>96</w:t>
            </w:r>
            <w:r>
              <w:rPr>
                <w:rFonts w:eastAsia="Calibri" w:cs="Arial"/>
                <w:color w:val="000000"/>
                <w:sz w:val="20"/>
                <w:szCs w:val="20"/>
              </w:rPr>
              <w:t>% increase</w:t>
            </w:r>
          </w:p>
        </w:tc>
        <w:tc>
          <w:tcPr>
            <w:tcW w:w="5411" w:type="dxa"/>
            <w:tcBorders>
              <w:top w:val="nil"/>
              <w:left w:val="nil"/>
              <w:bottom w:val="single" w:sz="8" w:space="0" w:color="auto"/>
              <w:right w:val="single" w:sz="8" w:space="0" w:color="auto"/>
            </w:tcBorders>
          </w:tcPr>
          <w:p w14:paraId="3FEE6B1C" w14:textId="77777777" w:rsidR="00A966D7" w:rsidRPr="0002006F" w:rsidRDefault="00A966D7" w:rsidP="00224F3B">
            <w:pPr>
              <w:spacing w:before="120" w:after="120" w:line="276" w:lineRule="auto"/>
              <w:ind w:left="79"/>
              <w:rPr>
                <w:rFonts w:eastAsia="Calibri" w:cs="Arial"/>
                <w:sz w:val="20"/>
                <w:szCs w:val="20"/>
              </w:rPr>
            </w:pPr>
            <w:r w:rsidRPr="0002006F">
              <w:rPr>
                <w:rFonts w:eastAsia="Calibri" w:cs="Arial"/>
                <w:sz w:val="20"/>
                <w:szCs w:val="20"/>
              </w:rPr>
              <w:t xml:space="preserve">To support investment in regional projects that improve safety, </w:t>
            </w:r>
            <w:r>
              <w:rPr>
                <w:rFonts w:eastAsia="Calibri" w:cs="Arial"/>
                <w:sz w:val="20"/>
                <w:szCs w:val="20"/>
              </w:rPr>
              <w:t>resilience</w:t>
            </w:r>
            <w:r w:rsidRPr="0002006F">
              <w:rPr>
                <w:rFonts w:eastAsia="Calibri" w:cs="Arial"/>
                <w:sz w:val="20"/>
                <w:szCs w:val="20"/>
              </w:rPr>
              <w:t xml:space="preserve"> and access for people and goods. How the NLTF interacts with the Provincial Growth Fund will be a key determinant of the activity class funding </w:t>
            </w:r>
            <w:r>
              <w:rPr>
                <w:rFonts w:eastAsia="Calibri" w:cs="Arial"/>
                <w:sz w:val="20"/>
                <w:szCs w:val="20"/>
              </w:rPr>
              <w:t xml:space="preserve">expenditure </w:t>
            </w:r>
            <w:r w:rsidRPr="0002006F">
              <w:rPr>
                <w:rFonts w:eastAsia="Calibri" w:cs="Arial"/>
                <w:sz w:val="20"/>
                <w:szCs w:val="20"/>
              </w:rPr>
              <w:t xml:space="preserve">levels. </w:t>
            </w:r>
          </w:p>
        </w:tc>
      </w:tr>
      <w:tr w:rsidR="00A966D7" w:rsidRPr="0002006F" w14:paraId="29592679" w14:textId="77777777" w:rsidTr="00224F3B">
        <w:trPr>
          <w:trHeight w:val="745"/>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D333CD" w14:textId="77777777"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State highway improvements</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7B76FEC9" w14:textId="77777777" w:rsidR="00A966D7" w:rsidRPr="0002006F" w:rsidRDefault="00A966D7" w:rsidP="00224F3B">
            <w:pPr>
              <w:spacing w:before="120" w:after="120" w:line="276" w:lineRule="auto"/>
              <w:jc w:val="right"/>
              <w:rPr>
                <w:rFonts w:eastAsia="Calibri" w:cs="Arial"/>
                <w:color w:val="000000"/>
                <w:sz w:val="20"/>
                <w:szCs w:val="20"/>
              </w:rPr>
            </w:pPr>
            <w:r w:rsidRPr="0002006F">
              <w:rPr>
                <w:rFonts w:eastAsia="Calibri" w:cs="Arial"/>
                <w:color w:val="000000"/>
                <w:sz w:val="20"/>
                <w:szCs w:val="20"/>
              </w:rPr>
              <w:t>11</w:t>
            </w:r>
            <w:r>
              <w:rPr>
                <w:rFonts w:eastAsia="Calibri" w:cs="Arial"/>
                <w:color w:val="000000"/>
                <w:sz w:val="20"/>
                <w:szCs w:val="20"/>
              </w:rPr>
              <w:t>% decrease</w:t>
            </w:r>
          </w:p>
        </w:tc>
        <w:tc>
          <w:tcPr>
            <w:tcW w:w="5411" w:type="dxa"/>
            <w:tcBorders>
              <w:top w:val="nil"/>
              <w:left w:val="nil"/>
              <w:bottom w:val="single" w:sz="8" w:space="0" w:color="auto"/>
              <w:right w:val="single" w:sz="8" w:space="0" w:color="auto"/>
            </w:tcBorders>
            <w:tcMar>
              <w:top w:w="0" w:type="dxa"/>
              <w:left w:w="108" w:type="dxa"/>
              <w:bottom w:w="0" w:type="dxa"/>
              <w:right w:w="108" w:type="dxa"/>
            </w:tcMar>
          </w:tcPr>
          <w:p w14:paraId="1F195185" w14:textId="77777777"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This decrease rebalances investment across the transport portfolio. The proposed activity class level will allow for currently committed projects to be completed and will enable the delivery of more safety improvements.</w:t>
            </w:r>
          </w:p>
        </w:tc>
      </w:tr>
      <w:tr w:rsidR="00A966D7" w:rsidRPr="0002006F" w14:paraId="2C66E808" w14:textId="77777777" w:rsidTr="00224F3B">
        <w:trPr>
          <w:trHeight w:val="565"/>
        </w:trPr>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C25AA8D" w14:textId="77777777"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Road policing</w:t>
            </w:r>
          </w:p>
        </w:tc>
        <w:tc>
          <w:tcPr>
            <w:tcW w:w="144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C0CBEB6" w14:textId="77777777" w:rsidR="00A966D7" w:rsidRPr="0002006F" w:rsidRDefault="00A966D7" w:rsidP="00224F3B">
            <w:pPr>
              <w:spacing w:before="120" w:after="120" w:line="276" w:lineRule="auto"/>
              <w:jc w:val="right"/>
              <w:rPr>
                <w:rFonts w:eastAsia="Calibri" w:cs="Arial"/>
                <w:color w:val="000000"/>
                <w:sz w:val="20"/>
                <w:szCs w:val="20"/>
              </w:rPr>
            </w:pPr>
            <w:r w:rsidRPr="0002006F">
              <w:rPr>
                <w:rFonts w:eastAsia="Calibri" w:cs="Arial"/>
                <w:color w:val="000000"/>
                <w:sz w:val="20"/>
                <w:szCs w:val="20"/>
              </w:rPr>
              <w:t>14</w:t>
            </w:r>
            <w:r>
              <w:rPr>
                <w:rFonts w:eastAsia="Calibri" w:cs="Arial"/>
                <w:color w:val="000000"/>
                <w:sz w:val="20"/>
                <w:szCs w:val="20"/>
              </w:rPr>
              <w:t>% increase</w:t>
            </w:r>
          </w:p>
        </w:tc>
        <w:tc>
          <w:tcPr>
            <w:tcW w:w="54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FD1DA3" w14:textId="77777777" w:rsidR="00A966D7" w:rsidRPr="0002006F" w:rsidRDefault="00A966D7" w:rsidP="00224F3B">
            <w:pPr>
              <w:spacing w:before="120" w:after="120" w:line="276" w:lineRule="auto"/>
              <w:rPr>
                <w:rFonts w:eastAsia="Calibri" w:cs="Arial"/>
                <w:sz w:val="20"/>
                <w:szCs w:val="20"/>
              </w:rPr>
            </w:pPr>
            <w:r>
              <w:rPr>
                <w:rFonts w:eastAsia="Calibri" w:cs="Arial"/>
                <w:sz w:val="20"/>
                <w:szCs w:val="20"/>
              </w:rPr>
              <w:t xml:space="preserve">To enable </w:t>
            </w:r>
            <w:r w:rsidRPr="0002006F">
              <w:rPr>
                <w:rFonts w:eastAsia="Calibri" w:cs="Arial"/>
                <w:sz w:val="20"/>
                <w:szCs w:val="20"/>
              </w:rPr>
              <w:t xml:space="preserve">the NZ Police </w:t>
            </w:r>
            <w:r>
              <w:rPr>
                <w:rFonts w:eastAsia="Calibri" w:cs="Arial"/>
                <w:sz w:val="20"/>
                <w:szCs w:val="20"/>
              </w:rPr>
              <w:t>to</w:t>
            </w:r>
            <w:r w:rsidRPr="0002006F">
              <w:rPr>
                <w:rFonts w:eastAsia="Calibri" w:cs="Arial"/>
                <w:sz w:val="20"/>
                <w:szCs w:val="20"/>
              </w:rPr>
              <w:t xml:space="preserve"> maintain an effective road policing service. </w:t>
            </w:r>
          </w:p>
        </w:tc>
      </w:tr>
      <w:tr w:rsidR="00A966D7" w:rsidRPr="0002006F" w14:paraId="63136969" w14:textId="77777777" w:rsidTr="00224F3B">
        <w:trPr>
          <w:trHeight w:val="565"/>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E05174" w14:textId="77777777"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 xml:space="preserve">Road safety and demand management </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72A17ABF" w14:textId="77777777" w:rsidR="00A966D7" w:rsidRPr="0002006F" w:rsidRDefault="00A966D7" w:rsidP="00224F3B">
            <w:pPr>
              <w:spacing w:before="120" w:after="120" w:line="276" w:lineRule="auto"/>
              <w:jc w:val="right"/>
              <w:rPr>
                <w:rFonts w:eastAsia="Calibri" w:cs="Arial"/>
                <w:color w:val="000000"/>
                <w:sz w:val="20"/>
                <w:szCs w:val="20"/>
              </w:rPr>
            </w:pPr>
            <w:r w:rsidRPr="008342C1">
              <w:rPr>
                <w:rFonts w:eastAsia="Calibri" w:cs="Arial"/>
                <w:color w:val="000000"/>
                <w:sz w:val="20"/>
                <w:szCs w:val="20"/>
              </w:rPr>
              <w:t>81</w:t>
            </w:r>
            <w:r>
              <w:rPr>
                <w:rFonts w:eastAsia="Calibri" w:cs="Arial"/>
                <w:color w:val="000000"/>
                <w:sz w:val="20"/>
                <w:szCs w:val="20"/>
              </w:rPr>
              <w:t xml:space="preserve">% increase </w:t>
            </w:r>
          </w:p>
        </w:tc>
        <w:tc>
          <w:tcPr>
            <w:tcW w:w="5411" w:type="dxa"/>
            <w:tcBorders>
              <w:top w:val="nil"/>
              <w:left w:val="nil"/>
              <w:bottom w:val="single" w:sz="8" w:space="0" w:color="auto"/>
              <w:right w:val="single" w:sz="8" w:space="0" w:color="auto"/>
            </w:tcBorders>
            <w:tcMar>
              <w:top w:w="0" w:type="dxa"/>
              <w:left w:w="108" w:type="dxa"/>
              <w:bottom w:w="0" w:type="dxa"/>
              <w:right w:w="108" w:type="dxa"/>
            </w:tcMar>
          </w:tcPr>
          <w:p w14:paraId="37EEE6A7" w14:textId="77777777"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To continue road safety promotion</w:t>
            </w:r>
            <w:r w:rsidRPr="008342C1">
              <w:rPr>
                <w:rFonts w:eastAsia="Calibri" w:cs="Arial"/>
                <w:sz w:val="20"/>
                <w:szCs w:val="20"/>
              </w:rPr>
              <w:t>, alcohol interlocks,</w:t>
            </w:r>
            <w:r w:rsidRPr="0002006F">
              <w:rPr>
                <w:rFonts w:eastAsia="Calibri" w:cs="Arial"/>
                <w:sz w:val="20"/>
                <w:szCs w:val="20"/>
              </w:rPr>
              <w:t xml:space="preserve"> and to include demand management measures that promote public transport and walking and cycling.</w:t>
            </w:r>
          </w:p>
        </w:tc>
      </w:tr>
      <w:tr w:rsidR="00A966D7" w:rsidRPr="0002006F" w14:paraId="53317F9C" w14:textId="77777777" w:rsidTr="00224F3B">
        <w:trPr>
          <w:trHeight w:val="565"/>
        </w:trPr>
        <w:tc>
          <w:tcPr>
            <w:tcW w:w="156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ABFCBB0" w14:textId="77777777"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State highway maintenance</w:t>
            </w:r>
          </w:p>
        </w:tc>
        <w:tc>
          <w:tcPr>
            <w:tcW w:w="1441" w:type="dxa"/>
            <w:tcBorders>
              <w:top w:val="nil"/>
              <w:left w:val="nil"/>
              <w:bottom w:val="single" w:sz="4" w:space="0" w:color="auto"/>
              <w:right w:val="single" w:sz="8" w:space="0" w:color="auto"/>
            </w:tcBorders>
            <w:tcMar>
              <w:top w:w="0" w:type="dxa"/>
              <w:left w:w="108" w:type="dxa"/>
              <w:bottom w:w="0" w:type="dxa"/>
              <w:right w:w="108" w:type="dxa"/>
            </w:tcMar>
          </w:tcPr>
          <w:p w14:paraId="2AF62A61" w14:textId="77777777" w:rsidR="00A966D7" w:rsidRPr="0002006F" w:rsidRDefault="00A966D7" w:rsidP="00224F3B">
            <w:pPr>
              <w:spacing w:before="120" w:after="120" w:line="276" w:lineRule="auto"/>
              <w:jc w:val="right"/>
              <w:rPr>
                <w:rFonts w:eastAsia="Calibri" w:cs="Arial"/>
                <w:color w:val="000000"/>
                <w:sz w:val="20"/>
                <w:szCs w:val="20"/>
              </w:rPr>
            </w:pPr>
            <w:r w:rsidRPr="0002006F">
              <w:rPr>
                <w:rFonts w:eastAsia="Calibri" w:cs="Arial"/>
                <w:color w:val="000000"/>
                <w:sz w:val="20"/>
                <w:szCs w:val="20"/>
              </w:rPr>
              <w:t>18</w:t>
            </w:r>
            <w:r>
              <w:rPr>
                <w:rFonts w:eastAsia="Calibri" w:cs="Arial"/>
                <w:color w:val="000000"/>
                <w:sz w:val="20"/>
                <w:szCs w:val="20"/>
              </w:rPr>
              <w:t>% increase</w:t>
            </w:r>
          </w:p>
        </w:tc>
        <w:tc>
          <w:tcPr>
            <w:tcW w:w="5411" w:type="dxa"/>
            <w:tcBorders>
              <w:top w:val="nil"/>
              <w:left w:val="nil"/>
              <w:bottom w:val="single" w:sz="4" w:space="0" w:color="auto"/>
              <w:right w:val="single" w:sz="8" w:space="0" w:color="auto"/>
            </w:tcBorders>
            <w:tcMar>
              <w:top w:w="0" w:type="dxa"/>
              <w:left w:w="108" w:type="dxa"/>
              <w:bottom w:w="0" w:type="dxa"/>
              <w:right w:w="108" w:type="dxa"/>
            </w:tcMar>
          </w:tcPr>
          <w:p w14:paraId="40C4A66D" w14:textId="77777777"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This activity class was capped over the last GPS period. It is now proposed to allow for an increase in the level of renewals of state highway pavement surfaces given additional heavy vehicle traffic and severe weather.</w:t>
            </w:r>
          </w:p>
        </w:tc>
      </w:tr>
      <w:tr w:rsidR="00A966D7" w:rsidRPr="0002006F" w14:paraId="1B6C2CEA" w14:textId="77777777" w:rsidTr="00224F3B">
        <w:trPr>
          <w:trHeight w:val="709"/>
        </w:trPr>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CF95F9C" w14:textId="77777777"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Local road maintenance</w:t>
            </w:r>
          </w:p>
        </w:tc>
        <w:tc>
          <w:tcPr>
            <w:tcW w:w="144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5D5B8A3" w14:textId="77777777" w:rsidR="00A966D7" w:rsidRPr="0002006F" w:rsidRDefault="00A966D7" w:rsidP="00224F3B">
            <w:pPr>
              <w:spacing w:before="120" w:after="120" w:line="276" w:lineRule="auto"/>
              <w:jc w:val="right"/>
              <w:rPr>
                <w:rFonts w:eastAsia="Calibri" w:cs="Arial"/>
                <w:color w:val="000000"/>
                <w:sz w:val="20"/>
                <w:szCs w:val="20"/>
              </w:rPr>
            </w:pPr>
            <w:r w:rsidRPr="0002006F">
              <w:rPr>
                <w:rFonts w:eastAsia="Calibri" w:cs="Arial"/>
                <w:color w:val="000000"/>
                <w:sz w:val="20"/>
                <w:szCs w:val="20"/>
              </w:rPr>
              <w:t>22</w:t>
            </w:r>
            <w:r>
              <w:rPr>
                <w:rFonts w:eastAsia="Calibri" w:cs="Arial"/>
                <w:color w:val="000000"/>
                <w:sz w:val="20"/>
                <w:szCs w:val="20"/>
              </w:rPr>
              <w:t>% increase</w:t>
            </w:r>
          </w:p>
        </w:tc>
        <w:tc>
          <w:tcPr>
            <w:tcW w:w="54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31944AC" w14:textId="77777777"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 xml:space="preserve">This activity class was capped over the last GPS period. It is proposed to allow an increase to cover the increased maintenance cost of additional heavy traffic and severe weather. However, it is also proposed to allow footpath </w:t>
            </w:r>
            <w:r w:rsidRPr="0002006F">
              <w:rPr>
                <w:rFonts w:eastAsia="Calibri" w:cs="Arial"/>
                <w:sz w:val="20"/>
                <w:szCs w:val="20"/>
              </w:rPr>
              <w:lastRenderedPageBreak/>
              <w:t>maintenance to be funded from the NLTF. This is a scope change that reflect</w:t>
            </w:r>
            <w:r>
              <w:rPr>
                <w:rFonts w:eastAsia="Calibri" w:cs="Arial"/>
                <w:sz w:val="20"/>
                <w:szCs w:val="20"/>
              </w:rPr>
              <w:t>s</w:t>
            </w:r>
            <w:r w:rsidRPr="0002006F">
              <w:rPr>
                <w:rFonts w:eastAsia="Calibri" w:cs="Arial"/>
                <w:sz w:val="20"/>
                <w:szCs w:val="20"/>
              </w:rPr>
              <w:t xml:space="preserve"> the Government’s desire to support the use of active modes.</w:t>
            </w:r>
          </w:p>
        </w:tc>
      </w:tr>
      <w:tr w:rsidR="00A966D7" w:rsidRPr="0002006F" w14:paraId="7718075D" w14:textId="77777777" w:rsidTr="00224F3B">
        <w:trPr>
          <w:trHeight w:val="797"/>
        </w:trPr>
        <w:tc>
          <w:tcPr>
            <w:tcW w:w="156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003C9DA" w14:textId="77777777"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lastRenderedPageBreak/>
              <w:t>Investment management</w:t>
            </w:r>
          </w:p>
        </w:tc>
        <w:tc>
          <w:tcPr>
            <w:tcW w:w="1441" w:type="dxa"/>
            <w:tcBorders>
              <w:top w:val="nil"/>
              <w:left w:val="nil"/>
              <w:bottom w:val="single" w:sz="4" w:space="0" w:color="auto"/>
              <w:right w:val="single" w:sz="8" w:space="0" w:color="auto"/>
            </w:tcBorders>
            <w:tcMar>
              <w:top w:w="0" w:type="dxa"/>
              <w:left w:w="108" w:type="dxa"/>
              <w:bottom w:w="0" w:type="dxa"/>
              <w:right w:w="108" w:type="dxa"/>
            </w:tcMar>
          </w:tcPr>
          <w:p w14:paraId="4C63768D" w14:textId="77777777" w:rsidR="00A966D7" w:rsidRPr="0002006F" w:rsidRDefault="00A966D7" w:rsidP="00224F3B">
            <w:pPr>
              <w:spacing w:before="120" w:after="120" w:line="276" w:lineRule="auto"/>
              <w:jc w:val="right"/>
              <w:rPr>
                <w:rFonts w:eastAsia="Calibri" w:cs="Arial"/>
                <w:color w:val="000000"/>
                <w:sz w:val="20"/>
                <w:szCs w:val="20"/>
              </w:rPr>
            </w:pPr>
            <w:r w:rsidRPr="0002006F">
              <w:rPr>
                <w:rFonts w:eastAsia="Calibri" w:cs="Arial"/>
                <w:color w:val="000000"/>
                <w:sz w:val="20"/>
                <w:szCs w:val="20"/>
              </w:rPr>
              <w:t>31</w:t>
            </w:r>
            <w:r>
              <w:rPr>
                <w:rFonts w:eastAsia="Calibri" w:cs="Arial"/>
                <w:color w:val="000000"/>
                <w:sz w:val="20"/>
                <w:szCs w:val="20"/>
              </w:rPr>
              <w:t>% increase</w:t>
            </w:r>
          </w:p>
        </w:tc>
        <w:tc>
          <w:tcPr>
            <w:tcW w:w="5411" w:type="dxa"/>
            <w:tcBorders>
              <w:top w:val="nil"/>
              <w:left w:val="nil"/>
              <w:bottom w:val="single" w:sz="4" w:space="0" w:color="auto"/>
              <w:right w:val="single" w:sz="8" w:space="0" w:color="auto"/>
            </w:tcBorders>
            <w:tcMar>
              <w:top w:w="0" w:type="dxa"/>
              <w:left w:w="108" w:type="dxa"/>
              <w:bottom w:w="0" w:type="dxa"/>
              <w:right w:w="108" w:type="dxa"/>
            </w:tcMar>
          </w:tcPr>
          <w:p w14:paraId="1EC7EE92" w14:textId="77777777"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 xml:space="preserve">This increase will support additional transport planning of NZ Transport Agency and local government given the changes to transport priorities.   </w:t>
            </w:r>
          </w:p>
        </w:tc>
      </w:tr>
      <w:tr w:rsidR="00A966D7" w:rsidRPr="0002006F" w14:paraId="634F8AE9" w14:textId="77777777" w:rsidTr="00224F3B">
        <w:trPr>
          <w:trHeight w:val="797"/>
        </w:trPr>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FDF810E" w14:textId="77777777" w:rsidR="00A966D7" w:rsidRPr="0002006F" w:rsidRDefault="00A966D7" w:rsidP="00224F3B">
            <w:pPr>
              <w:spacing w:before="120" w:after="120" w:line="276" w:lineRule="auto"/>
              <w:jc w:val="center"/>
              <w:rPr>
                <w:rFonts w:eastAsia="Calibri" w:cs="Arial"/>
                <w:i/>
                <w:color w:val="000000"/>
                <w:sz w:val="20"/>
                <w:szCs w:val="20"/>
              </w:rPr>
            </w:pPr>
            <w:r w:rsidRPr="008342C1">
              <w:rPr>
                <w:rFonts w:eastAsia="Calibri" w:cs="Arial"/>
                <w:i/>
                <w:color w:val="000000"/>
                <w:sz w:val="20"/>
                <w:szCs w:val="20"/>
              </w:rPr>
              <w:t>Transitional rail</w:t>
            </w:r>
          </w:p>
        </w:tc>
        <w:tc>
          <w:tcPr>
            <w:tcW w:w="144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C66E31B" w14:textId="77777777" w:rsidR="00A966D7" w:rsidRPr="0002006F" w:rsidRDefault="00A966D7" w:rsidP="00224F3B">
            <w:pPr>
              <w:spacing w:before="120" w:after="120" w:line="276" w:lineRule="auto"/>
              <w:jc w:val="right"/>
              <w:rPr>
                <w:rFonts w:eastAsia="Calibri" w:cs="Arial"/>
                <w:color w:val="000000"/>
                <w:sz w:val="20"/>
                <w:szCs w:val="20"/>
              </w:rPr>
            </w:pPr>
            <w:r>
              <w:rPr>
                <w:rFonts w:eastAsia="Calibri" w:cs="Arial"/>
                <w:color w:val="000000"/>
                <w:sz w:val="20"/>
                <w:szCs w:val="20"/>
              </w:rPr>
              <w:t xml:space="preserve">New activity class </w:t>
            </w:r>
          </w:p>
        </w:tc>
        <w:tc>
          <w:tcPr>
            <w:tcW w:w="54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22367BD" w14:textId="77777777"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New activity class – this activity c</w:t>
            </w:r>
            <w:r>
              <w:rPr>
                <w:rFonts w:eastAsia="Calibri" w:cs="Arial"/>
                <w:sz w:val="20"/>
                <w:szCs w:val="20"/>
              </w:rPr>
              <w:t xml:space="preserve">lass will support rail </w:t>
            </w:r>
            <w:proofErr w:type="gramStart"/>
            <w:r>
              <w:rPr>
                <w:rFonts w:eastAsia="Calibri" w:cs="Arial"/>
                <w:sz w:val="20"/>
                <w:szCs w:val="20"/>
              </w:rPr>
              <w:t>priority</w:t>
            </w:r>
            <w:r w:rsidRPr="0002006F">
              <w:rPr>
                <w:rFonts w:eastAsia="Calibri" w:cs="Arial"/>
                <w:sz w:val="20"/>
                <w:szCs w:val="20"/>
              </w:rPr>
              <w:t xml:space="preserve">  transport</w:t>
            </w:r>
            <w:proofErr w:type="gramEnd"/>
            <w:r w:rsidRPr="0002006F">
              <w:rPr>
                <w:rFonts w:eastAsia="Calibri" w:cs="Arial"/>
                <w:sz w:val="20"/>
                <w:szCs w:val="20"/>
              </w:rPr>
              <w:t xml:space="preserve"> options for users and benefit congestion in our urban </w:t>
            </w:r>
            <w:proofErr w:type="spellStart"/>
            <w:r w:rsidRPr="0002006F">
              <w:rPr>
                <w:rFonts w:eastAsia="Calibri" w:cs="Arial"/>
                <w:sz w:val="20"/>
                <w:szCs w:val="20"/>
              </w:rPr>
              <w:t>centres</w:t>
            </w:r>
            <w:proofErr w:type="spellEnd"/>
            <w:r>
              <w:rPr>
                <w:rFonts w:eastAsia="Calibri" w:cs="Arial"/>
                <w:sz w:val="20"/>
                <w:szCs w:val="20"/>
              </w:rPr>
              <w:t xml:space="preserve"> until a wider review of rail funding is concluded.</w:t>
            </w:r>
          </w:p>
        </w:tc>
      </w:tr>
      <w:tr w:rsidR="00A966D7" w:rsidRPr="0002006F" w14:paraId="10B90815" w14:textId="77777777" w:rsidTr="00A966D7">
        <w:trPr>
          <w:trHeight w:val="797"/>
        </w:trPr>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D90F0E5" w14:textId="77777777" w:rsidR="00A966D7" w:rsidRPr="0002006F" w:rsidRDefault="00A966D7" w:rsidP="00224F3B">
            <w:pPr>
              <w:spacing w:before="120" w:after="120" w:line="276" w:lineRule="auto"/>
              <w:jc w:val="center"/>
              <w:rPr>
                <w:rFonts w:eastAsia="Calibri" w:cs="Arial"/>
                <w:i/>
                <w:color w:val="000000"/>
                <w:sz w:val="20"/>
                <w:szCs w:val="20"/>
              </w:rPr>
            </w:pPr>
            <w:r w:rsidRPr="0002006F">
              <w:rPr>
                <w:rFonts w:eastAsia="Calibri" w:cs="Arial"/>
                <w:i/>
                <w:color w:val="000000"/>
                <w:sz w:val="20"/>
                <w:szCs w:val="20"/>
              </w:rPr>
              <w:t>Walking and cycling improvements</w:t>
            </w:r>
          </w:p>
        </w:tc>
        <w:tc>
          <w:tcPr>
            <w:tcW w:w="144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C7682BE" w14:textId="77777777" w:rsidR="00A966D7" w:rsidRPr="0002006F" w:rsidRDefault="00A966D7" w:rsidP="00224F3B">
            <w:pPr>
              <w:spacing w:before="120" w:after="120" w:line="276" w:lineRule="auto"/>
              <w:jc w:val="right"/>
              <w:rPr>
                <w:rFonts w:eastAsia="Calibri" w:cs="Arial"/>
                <w:color w:val="000000"/>
                <w:sz w:val="20"/>
                <w:szCs w:val="20"/>
              </w:rPr>
            </w:pPr>
            <w:r w:rsidRPr="008342C1">
              <w:rPr>
                <w:rFonts w:eastAsia="Calibri" w:cs="Arial"/>
                <w:color w:val="000000"/>
                <w:sz w:val="20"/>
                <w:szCs w:val="20"/>
              </w:rPr>
              <w:t>248</w:t>
            </w:r>
            <w:r>
              <w:rPr>
                <w:rFonts w:eastAsia="Calibri" w:cs="Arial"/>
                <w:color w:val="000000"/>
                <w:sz w:val="20"/>
                <w:szCs w:val="20"/>
              </w:rPr>
              <w:t>% increase</w:t>
            </w:r>
          </w:p>
        </w:tc>
        <w:tc>
          <w:tcPr>
            <w:tcW w:w="54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9828F1D" w14:textId="77777777" w:rsidR="00A966D7" w:rsidRPr="0002006F" w:rsidRDefault="00A966D7" w:rsidP="00224F3B">
            <w:pPr>
              <w:spacing w:before="120" w:after="120" w:line="276" w:lineRule="auto"/>
              <w:rPr>
                <w:rFonts w:eastAsia="Calibri" w:cs="Arial"/>
                <w:sz w:val="20"/>
                <w:szCs w:val="20"/>
              </w:rPr>
            </w:pPr>
            <w:r w:rsidRPr="0002006F">
              <w:rPr>
                <w:rFonts w:eastAsia="Calibri" w:cs="Arial"/>
                <w:sz w:val="20"/>
                <w:szCs w:val="20"/>
              </w:rPr>
              <w:t xml:space="preserve">To support an expansion in walking and cycling infrastructure. </w:t>
            </w:r>
          </w:p>
        </w:tc>
      </w:tr>
    </w:tbl>
    <w:p w14:paraId="2577B81D" w14:textId="77777777" w:rsidR="00E7487D" w:rsidRDefault="00E7487D"/>
    <w:sectPr w:rsidR="00E748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6199D" w14:textId="77777777" w:rsidR="00DD1627" w:rsidRDefault="00DD1627" w:rsidP="00A966D7">
      <w:r>
        <w:separator/>
      </w:r>
    </w:p>
  </w:endnote>
  <w:endnote w:type="continuationSeparator" w:id="0">
    <w:p w14:paraId="108A0537" w14:textId="77777777" w:rsidR="00DD1627" w:rsidRDefault="00DD1627" w:rsidP="00A9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304B4" w14:textId="77777777" w:rsidR="00DD1627" w:rsidRDefault="00DD1627" w:rsidP="00A966D7">
      <w:r>
        <w:separator/>
      </w:r>
    </w:p>
  </w:footnote>
  <w:footnote w:type="continuationSeparator" w:id="0">
    <w:p w14:paraId="48E26EC3" w14:textId="77777777" w:rsidR="00DD1627" w:rsidRDefault="00DD1627" w:rsidP="00A966D7">
      <w:r>
        <w:continuationSeparator/>
      </w:r>
    </w:p>
  </w:footnote>
  <w:footnote w:id="1">
    <w:p w14:paraId="78337A9A" w14:textId="77777777" w:rsidR="00A966D7" w:rsidRDefault="00A966D7" w:rsidP="00A966D7">
      <w:pPr>
        <w:pStyle w:val="FootnoteText"/>
      </w:pPr>
      <w:r w:rsidRPr="00746920">
        <w:rPr>
          <w:rStyle w:val="FootnoteReference"/>
          <w:rFonts w:ascii="Arial" w:hAnsi="Arial" w:cs="Arial"/>
        </w:rPr>
        <w:footnoteRef/>
      </w:r>
      <w:r w:rsidRPr="00746920">
        <w:rPr>
          <w:rFonts w:ascii="Arial" w:hAnsi="Arial" w:cs="Arial"/>
        </w:rPr>
        <w:t xml:space="preserve"> In funding range upper boundary, across three financial years</w:t>
      </w:r>
      <w:r>
        <w:rPr>
          <w:rFonts w:ascii="Arial" w:hAnsi="Arial" w:cs="Arial"/>
        </w:rPr>
        <w:t>.</w:t>
      </w:r>
      <w:r>
        <w:rPr>
          <w:sz w:val="22"/>
          <w:szCs w:val="22"/>
        </w:rPr>
        <w:t xml:space="preserve"> </w:t>
      </w:r>
      <w:r w:rsidRPr="007604D7">
        <w:rPr>
          <w:b/>
          <w:sz w:val="22"/>
          <w:szCs w:val="22"/>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D7"/>
    <w:rsid w:val="00452592"/>
    <w:rsid w:val="00A966D7"/>
    <w:rsid w:val="00DD1627"/>
    <w:rsid w:val="00E748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30F3"/>
  <w15:chartTrackingRefBased/>
  <w15:docId w15:val="{8A4715EC-E4CB-4042-B5CD-32696446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966D7"/>
    <w:pPr>
      <w:widowControl w:val="0"/>
      <w:spacing w:after="0" w:line="240" w:lineRule="auto"/>
    </w:pPr>
    <w:rPr>
      <w:lang w:val="en-US"/>
    </w:rPr>
  </w:style>
  <w:style w:type="paragraph" w:styleId="Heading1">
    <w:name w:val="heading 1"/>
    <w:basedOn w:val="Normal"/>
    <w:link w:val="Heading1Char"/>
    <w:uiPriority w:val="1"/>
    <w:qFormat/>
    <w:rsid w:val="00A966D7"/>
    <w:pPr>
      <w:ind w:left="1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66D7"/>
    <w:rPr>
      <w:rFonts w:ascii="Arial" w:eastAsia="Arial" w:hAnsi="Arial"/>
      <w:b/>
      <w:bCs/>
      <w:lang w:val="en-US"/>
    </w:rPr>
  </w:style>
  <w:style w:type="paragraph" w:styleId="FootnoteText">
    <w:name w:val="footnote text"/>
    <w:basedOn w:val="Normal"/>
    <w:link w:val="FootnoteTextChar"/>
    <w:uiPriority w:val="99"/>
    <w:unhideWhenUsed/>
    <w:qFormat/>
    <w:rsid w:val="00A966D7"/>
    <w:pPr>
      <w:widowControl/>
      <w:spacing w:after="200" w:line="276" w:lineRule="auto"/>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A966D7"/>
    <w:rPr>
      <w:rFonts w:ascii="Calibri" w:eastAsia="Calibri" w:hAnsi="Calibri" w:cs="Times New Roman"/>
      <w:sz w:val="20"/>
      <w:szCs w:val="20"/>
      <w:lang w:val="x-none"/>
    </w:rPr>
  </w:style>
  <w:style w:type="character" w:styleId="FootnoteReference">
    <w:name w:val="footnote reference"/>
    <w:uiPriority w:val="99"/>
    <w:unhideWhenUsed/>
    <w:rsid w:val="00A966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Levy</dc:creator>
  <cp:keywords/>
  <dc:description/>
  <cp:lastModifiedBy>Judith</cp:lastModifiedBy>
  <cp:revision>2</cp:revision>
  <dcterms:created xsi:type="dcterms:W3CDTF">2018-04-16T05:08:00Z</dcterms:created>
  <dcterms:modified xsi:type="dcterms:W3CDTF">2018-04-16T05:08:00Z</dcterms:modified>
</cp:coreProperties>
</file>